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3F4FDC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3F4FDC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3F4F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3F4FDC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3F4FDC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  <w:r w:rsidRPr="003F4FDC">
        <w:rPr>
          <w:b/>
          <w:sz w:val="24"/>
          <w:szCs w:val="24"/>
        </w:rPr>
        <w:t xml:space="preserve">FORMULARZ  OFERTY </w:t>
      </w:r>
    </w:p>
    <w:p w:rsidR="00EF052D" w:rsidRPr="003F4FDC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B8F" w:rsidRPr="003F4FD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3F4FDC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3F4FDC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3F4FDC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3F4FDC">
        <w:rPr>
          <w:rFonts w:ascii="Calibri" w:hAnsi="Calibri" w:cs="Calibri"/>
          <w:sz w:val="20"/>
          <w:szCs w:val="20"/>
        </w:rPr>
        <w:t xml:space="preserve"> tj. </w:t>
      </w:r>
      <w:r w:rsidRPr="003F4FDC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3F4FDC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3F4FDC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3F4FDC">
        <w:rPr>
          <w:rFonts w:ascii="Calibri" w:hAnsi="Calibri" w:cs="Calibri"/>
          <w:sz w:val="20"/>
          <w:szCs w:val="20"/>
        </w:rPr>
        <w:t xml:space="preserve"> na </w:t>
      </w:r>
      <w:r w:rsidRPr="003F4FDC">
        <w:rPr>
          <w:rFonts w:ascii="Calibri" w:hAnsi="Calibri" w:cs="Calibri"/>
          <w:sz w:val="20"/>
          <w:szCs w:val="20"/>
        </w:rPr>
        <w:t xml:space="preserve"> </w:t>
      </w:r>
      <w:r w:rsidR="00CE5525" w:rsidRPr="003F4FDC">
        <w:rPr>
          <w:rFonts w:ascii="Calibri" w:hAnsi="Calibri" w:cs="Calibri"/>
          <w:sz w:val="20"/>
          <w:szCs w:val="20"/>
        </w:rPr>
        <w:t>zakup pomp infuzyjnych.</w:t>
      </w:r>
    </w:p>
    <w:p w:rsidR="00EF052D" w:rsidRPr="003F4FDC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3F4FDC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3F4FDC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1379A4" w:rsidRPr="003F4FDC" w:rsidTr="00C44B8F">
        <w:trPr>
          <w:trHeight w:val="635"/>
        </w:trPr>
        <w:tc>
          <w:tcPr>
            <w:tcW w:w="56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1379A4" w:rsidRPr="003F4FDC" w:rsidTr="00C44B8F">
        <w:trPr>
          <w:trHeight w:val="328"/>
        </w:trPr>
        <w:tc>
          <w:tcPr>
            <w:tcW w:w="568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3F4FDC" w:rsidRDefault="00A93B12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Pompa infuzyjna objętościowa 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 w:rsidR="00544ACE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 w:rsidR="00544A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3F4FDC" w:rsidRDefault="00A93B1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3F4FDC" w:rsidRDefault="00A93B1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79A4" w:rsidRPr="003F4FDC" w:rsidTr="00C44B8F">
        <w:trPr>
          <w:trHeight w:val="328"/>
        </w:trPr>
        <w:tc>
          <w:tcPr>
            <w:tcW w:w="568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8" w:type="dxa"/>
            <w:vAlign w:val="center"/>
          </w:tcPr>
          <w:p w:rsidR="00C44B8F" w:rsidRPr="003F4FDC" w:rsidRDefault="00A93B12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strzykawkowa</w:t>
            </w:r>
            <w:proofErr w:type="spellEnd"/>
            <w:r w:rsidR="00544A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 w:rsidR="00544ACE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 w:rsidR="00544A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="00544ACE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3F4FDC" w:rsidRDefault="00A93B12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3F4FDC" w:rsidRDefault="00A93B12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79A4" w:rsidRPr="003F4FDC" w:rsidTr="004C04CF">
        <w:trPr>
          <w:trHeight w:val="358"/>
        </w:trPr>
        <w:tc>
          <w:tcPr>
            <w:tcW w:w="56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3F4FDC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4FDC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3F4FDC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3F4FDC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3F4FDC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3F4FDC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F7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maksymalnie 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30.11.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202</w:t>
      </w:r>
      <w:r w:rsidR="00FF528E" w:rsidRPr="003F4FDC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r.)</w:t>
      </w:r>
    </w:p>
    <w:p w:rsidR="00203E93" w:rsidRPr="003F4FDC" w:rsidRDefault="00EF052D" w:rsidP="00CE552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96475E" w:rsidRPr="003F4FDC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F4FD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F4FDC">
        <w:rPr>
          <w:rFonts w:ascii="Calibri" w:hAnsi="Calibri" w:cs="Calibri"/>
          <w:sz w:val="20"/>
          <w:szCs w:val="20"/>
        </w:rPr>
        <w:t>.</w:t>
      </w:r>
      <w:bookmarkStart w:id="1" w:name="_Hlk112742039"/>
    </w:p>
    <w:p w:rsidR="0096475E" w:rsidRPr="003F4FDC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3F4FDC">
        <w:rPr>
          <w:rFonts w:ascii="Calibri" w:hAnsi="Calibri"/>
          <w:b/>
          <w:bCs/>
          <w:sz w:val="20"/>
          <w:szCs w:val="20"/>
        </w:rPr>
        <w:t>,</w:t>
      </w:r>
    </w:p>
    <w:p w:rsidR="0096475E" w:rsidRPr="00EF79E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jest zarejestrowany i dopuszczony do obrotu na rynku polskim i posiada wymagane prawem dokumenty, stwierdzające jego dopuszczenie do stosowania. Dokumenty te zostaną </w:t>
      </w:r>
      <w:r w:rsidR="00EF79EC" w:rsidRPr="00EF79EC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EF79EC">
        <w:rPr>
          <w:rFonts w:cstheme="minorHAnsi"/>
          <w:sz w:val="20"/>
          <w:szCs w:val="20"/>
        </w:rPr>
        <w:t xml:space="preserve"> wraz z dostawą przedmiotu zamówienia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3F4FDC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3F4FD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4FD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4FD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3F4FDC">
        <w:rPr>
          <w:rFonts w:ascii="Calibri" w:eastAsia="Calibri" w:hAnsi="Calibri" w:cs="Arial"/>
          <w:i/>
          <w:sz w:val="18"/>
          <w:szCs w:val="18"/>
          <w:vertAlign w:val="superscript"/>
        </w:rPr>
        <w:lastRenderedPageBreak/>
        <w:t xml:space="preserve">1) </w:t>
      </w:r>
      <w:r w:rsidRPr="003F4FD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3F4FDC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3F4FDC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3F4FDC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3F4FDC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3F4FDC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12741984"/>
      <w:r w:rsidRPr="003F4FDC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3F4FDC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3F4FDC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3F4FDC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3" w:name="_Hlk101338764"/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3F4FDC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3F4FDC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3F4FDC">
        <w:rPr>
          <w:rFonts w:ascii="Calibri" w:eastAsia="Trebuchet MS" w:hAnsi="Calibri" w:cs="Calibri"/>
          <w:sz w:val="20"/>
          <w:szCs w:val="20"/>
        </w:rPr>
        <w:t>na</w:t>
      </w:r>
      <w:r w:rsidRPr="003F4FDC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3F4FDC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3F4FDC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3F4FDC">
        <w:rPr>
          <w:rFonts w:ascii="Calibri" w:eastAsia="Trebuchet MS" w:hAnsi="Calibri" w:cs="Calibri"/>
          <w:sz w:val="20"/>
          <w:szCs w:val="20"/>
        </w:rPr>
        <w:t xml:space="preserve"> (</w:t>
      </w:r>
      <w:r w:rsidRPr="003F4FDC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3F4FDC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3F4FDC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3F4FDC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:rsidR="0096475E" w:rsidRPr="003F4FDC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1"/>
    </w:p>
    <w:p w:rsidR="00EF052D" w:rsidRPr="003F4FDC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FF528E">
      <w:pPr>
        <w:pStyle w:val="NormalnyWeb"/>
        <w:spacing w:before="0" w:beforeAutospacing="0" w:after="0"/>
        <w:jc w:val="both"/>
      </w:pPr>
    </w:p>
    <w:p w:rsidR="00EF052D" w:rsidRPr="003F4FDC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3F4FDC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3F4FDC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1379A4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Pr="00544ACE" w:rsidRDefault="00544ACE" w:rsidP="00544ACE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544ACE">
        <w:rPr>
          <w:rFonts w:ascii="Calibri" w:hAnsi="Calibri" w:cs="Calibri"/>
          <w:b/>
          <w:sz w:val="24"/>
          <w:szCs w:val="24"/>
        </w:rPr>
        <w:lastRenderedPageBreak/>
        <w:t>ZAŁĄCZNIK DO FORMULARZA OFERTY</w:t>
      </w:r>
      <w:bookmarkStart w:id="4" w:name="_GoBack"/>
      <w:bookmarkEnd w:id="4"/>
    </w:p>
    <w:p w:rsidR="00544ACE" w:rsidRPr="00544ACE" w:rsidRDefault="00544ACE" w:rsidP="00544ACE">
      <w:pPr>
        <w:pStyle w:val="Nagwek"/>
        <w:jc w:val="right"/>
        <w:rPr>
          <w:rFonts w:ascii="Calibri" w:hAnsi="Calibri" w:cs="Calibri"/>
        </w:rPr>
      </w:pPr>
    </w:p>
    <w:p w:rsidR="00CE5525" w:rsidRDefault="00CE5525" w:rsidP="00CE5525">
      <w:pPr>
        <w:pStyle w:val="Standard"/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PARAMETRÓW TECHNICZNYCH</w:t>
      </w:r>
    </w:p>
    <w:p w:rsidR="00CE5525" w:rsidRDefault="00CE5525" w:rsidP="00CE5525">
      <w:pPr>
        <w:pStyle w:val="Standard"/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E5525" w:rsidRDefault="00CE5525" w:rsidP="00CE5525">
      <w:pPr>
        <w:ind w:left="851" w:hanging="851"/>
        <w:jc w:val="both"/>
      </w:pPr>
      <w:r>
        <w:rPr>
          <w:b/>
        </w:rPr>
        <w:t>Dotyczy:</w:t>
      </w:r>
      <w:r>
        <w:t xml:space="preserve"> </w:t>
      </w:r>
      <w:r>
        <w:rPr>
          <w:rFonts w:eastAsia="Times New Roman"/>
          <w:lang w:val="en-US"/>
        </w:rPr>
        <w:t xml:space="preserve">postępowania </w:t>
      </w:r>
      <w:r>
        <w:t xml:space="preserve"> o udzielenie zamówienia publicznego prowadzonego w trybie podstawowym bez negocjacji o wartości zamówienia nie przekraczającej progów unijnych o jakich stanowi art. 3 ustawy z 11 września 2019 r. - Prawo zamówień publicznych – dalej </w:t>
      </w:r>
      <w:proofErr w:type="spellStart"/>
      <w:r>
        <w:t>p.z.p</w:t>
      </w:r>
      <w:proofErr w:type="spellEnd"/>
      <w:r>
        <w:t xml:space="preserve">. na  </w:t>
      </w:r>
      <w:bookmarkStart w:id="5" w:name="_Hlk103588253"/>
      <w:r>
        <w:rPr>
          <w:rFonts w:cs="Calibri"/>
          <w:b/>
        </w:rPr>
        <w:t>zakup pomp infuzyjnych.</w:t>
      </w:r>
      <w:bookmarkEnd w:id="5"/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E552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5525">
        <w:rPr>
          <w:rFonts w:asciiTheme="minorHAnsi" w:hAnsiTheme="minorHAnsi" w:cstheme="minorHAnsi"/>
          <w:sz w:val="22"/>
          <w:szCs w:val="22"/>
        </w:rPr>
        <w:t>Wymogiem jest, aby wartości podane w kolumnie „</w:t>
      </w:r>
      <w:r w:rsidRPr="00CE5525">
        <w:rPr>
          <w:rFonts w:asciiTheme="minorHAnsi" w:hAnsiTheme="minorHAnsi" w:cstheme="minorHAnsi"/>
          <w:bCs/>
          <w:iCs/>
          <w:sz w:val="22"/>
          <w:szCs w:val="22"/>
        </w:rPr>
        <w:t>Parametry oferowane</w:t>
      </w:r>
      <w:r w:rsidRPr="00CE5525">
        <w:rPr>
          <w:rFonts w:asciiTheme="minorHAnsi" w:hAnsiTheme="minorHAnsi" w:cstheme="minorHAnsi"/>
          <w:sz w:val="22"/>
          <w:szCs w:val="22"/>
        </w:rPr>
        <w:t>” były zgodne ze stanem faktycznym oraz danymi zawartymi w oficjalnym dokumencie przedstawiającym dane techniczne  (np. katalog).</w:t>
      </w:r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5525">
        <w:rPr>
          <w:rFonts w:asciiTheme="minorHAnsi" w:hAnsiTheme="minorHAnsi" w:cstheme="minorHAnsi"/>
          <w:sz w:val="22"/>
          <w:szCs w:val="22"/>
        </w:rPr>
        <w:t>Zamawiający ma prawo wystąpić do wykonawców o udzielenie dalszych wyjaśnień niezbędnych dla weryfikacji udzielonych odpowiedzi.</w:t>
      </w:r>
    </w:p>
    <w:p w:rsidR="00CE5525" w:rsidRDefault="00CE5525" w:rsidP="00CE5525">
      <w:pPr>
        <w:pStyle w:val="Standard"/>
        <w:jc w:val="both"/>
      </w:pPr>
    </w:p>
    <w:tbl>
      <w:tblPr>
        <w:tblW w:w="10626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238"/>
        <w:gridCol w:w="1559"/>
        <w:gridCol w:w="3402"/>
      </w:tblGrid>
      <w:tr w:rsidR="00CE5525" w:rsidTr="00CE5525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Default="00CE5525" w:rsidP="00CE5525">
            <w:pPr>
              <w:pStyle w:val="Standard"/>
              <w:jc w:val="center"/>
              <w:rPr>
                <w:b/>
              </w:rPr>
            </w:pPr>
            <w:bookmarkStart w:id="6" w:name="_Hlk103601192"/>
            <w:r>
              <w:rPr>
                <w:b/>
              </w:rPr>
              <w:t>Lp.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PODAĆ / OPISAĆ</w:t>
            </w:r>
          </w:p>
        </w:tc>
      </w:tr>
      <w:tr w:rsidR="00CE5525" w:rsidTr="00CE5525">
        <w:trPr>
          <w:trHeight w:val="212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POZYCJA 1  -   POMPA INFUZYJNA OBJĘTOŚCIOWA</w:t>
            </w:r>
          </w:p>
        </w:tc>
      </w:tr>
      <w:tr w:rsidR="00CE5525" w:rsidTr="00CE5525">
        <w:trPr>
          <w:trHeight w:val="22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16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2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CE5525" w:rsidTr="00CE5525">
        <w:trPr>
          <w:trHeight w:val="32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F4FDC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F4FDC">
              <w:rPr>
                <w:rFonts w:asciiTheme="minorHAnsi" w:hAnsiTheme="minorHAnsi" w:cstheme="minorHAnsi"/>
                <w:sz w:val="22"/>
                <w:szCs w:val="22"/>
              </w:rPr>
              <w:t>Rok produkcji  min.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F4FDC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FDC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E5525" w:rsidTr="00CE5525">
        <w:trPr>
          <w:trHeight w:val="325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A. CHARAKTERYSTYKA TECHNICZNA</w:t>
            </w:r>
          </w:p>
        </w:tc>
      </w:tr>
      <w:tr w:rsidR="00CE5525" w:rsidTr="00CE5525">
        <w:trPr>
          <w:trHeight w:val="79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C31177">
              <w:rPr>
                <w:rFonts w:cstheme="minorHAnsi"/>
              </w:rPr>
              <w:t>Pompa infuzyjna objętościowa  zarejestrowana jako wyrób medyczny oznaczony znakiem CE zgodny z normami krajowymi i europejskimi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Pompa objętościowa do podawania dożylnego sterowana elektronicznie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Pompa dostosowana do użytku dla pacjentów: dorosły, dziecko, noworodek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36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Ochrona przed porażeniem, klasa I, typ CF, odporność na defibrylację.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31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Aparat infuzyjny mocowany od frontu pompy. Dren w urządzeniu w pozycji poziomej.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ustawiania parametrów infuzji na kolorowym min. 4” ekranie dotykowym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30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Zasilanie: AC 100 - 240V; 50/60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 oraz DC 12V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Samodzielna praca bez zasilania sieciowego min. 9h przy przepływie 25ml/h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6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Czas ładowania akumulatorów do 100%:  max. 5 godzin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665937" w:rsidRDefault="00CE5525" w:rsidP="00CE5525">
            <w:pPr>
              <w:pStyle w:val="Standard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7986">
              <w:rPr>
                <w:rFonts w:asciiTheme="minorHAnsi" w:hAnsiTheme="minorHAnsi" w:cstheme="minorHAnsi"/>
                <w:sz w:val="22"/>
                <w:szCs w:val="22"/>
              </w:rPr>
              <w:t>Ochrona przed zalaniem:   min. IP 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665937" w:rsidRDefault="00F57986" w:rsidP="00CE5525">
            <w:pPr>
              <w:jc w:val="center"/>
              <w:rPr>
                <w:rFonts w:cstheme="minorHAnsi"/>
                <w:color w:val="FF0000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Funkcja Stand-by z możliwością programowania przez użytkownika w zakresie od 1 min do 25 godzin +/- 1min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E25C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E25C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Waga max. 2 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665937" w:rsidRDefault="003E25C7" w:rsidP="00CE5525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ręcznego i automatycznego zablokowania ekranu infuzji w celu wyeliminowania niekontrolowanych zmian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wyboru czasu automatycznej blokady ekranu               min. 1, 2, 5, 10, 30 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3117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Zasilanie pomp mocowanych poza stacją dokującą bezpośrednio z sieci energetycznej – nie dopuszcza się zasilacza zewnętrznego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Uchwyt do przenoszenia pompy nie wymagający odłączenia przy mocowaniu w stacjach dokujących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Wskaźnik pozostałego czasu pracy na zasilaniu akumulatorowym w postaci procentowej lub pozostałego czasu do rozładowania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resetowania ustawień użytkownika przed kolejną infuzją. Nie akceptuje się resetowania urządzenia do ustawień fabrycznych.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automatycznej kalibracji dowolnego aparatu infuzyjnego z możliwością zapisania jego nazwy i parametrów bezpośrednio w pompie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Napisy na wyświetlaczu w języku polskim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precyzyjnej pracy z lub bez czujnika kropli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Wysoka czułość techniczna – wykrywanie pojedynczych pęcherzyków powietrza ≤ 0,02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Co najmniej 6 trybów infuzji:                   </w:t>
            </w:r>
          </w:p>
          <w:p w:rsid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1. Tryb podstawowy: ml/h                         </w:t>
            </w:r>
          </w:p>
          <w:p w:rsid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2. Tryb programowania leku na podstawie masy ciała pacjenta                    </w:t>
            </w:r>
          </w:p>
          <w:p w:rsid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3. Tryb dawki indukcyjnej ( wysycającej )                                             4. Tryb sekwencyjny z max. 5 etapami           </w:t>
            </w:r>
          </w:p>
          <w:p w:rsid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5. Tryb podnoszenia i opuszczania                 </w:t>
            </w:r>
          </w:p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6. Tryb kroplówki ( z zastosowaniem czujnika kropli 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3117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E25C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Dokładność podaży:</w:t>
            </w:r>
            <w:r w:rsidR="003E25C7">
              <w:rPr>
                <w:rFonts w:asciiTheme="minorHAnsi" w:hAnsiTheme="minorHAnsi" w:cstheme="minorHAnsi"/>
                <w:sz w:val="22"/>
                <w:szCs w:val="22"/>
              </w:rPr>
              <w:t xml:space="preserve"> max.</w:t>
            </w: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 xml:space="preserve"> +/- 5%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E25C7" w:rsidRDefault="00C3117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E25C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Możliwość zaprogramowania podaży w co najmniej jednostkach stężenia:    -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/ml,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/ml, mg/ml, g/ml, U/ml,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/ml, IU/ml, IE/ml,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mmol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/ml, mol/ml, kcal/ml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Możliwość zaprogramowania podaży w co najmniej jednostkach tempa dozowania:                                                 </w:t>
            </w:r>
            <w:r w:rsidRPr="00C31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, mg, g, U, KU, IU, IE,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mmol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, mol, kcal na min, h, 24                                  -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/kg/,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/kg/, mg/kg/, g/kg/, U/kg/, KU/kg/, IU/kg/, IE/kg/,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mmo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/kg/, mol/kg/,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kca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/kg/  na min, h, 24h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66593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Regulowane progi ciśnienia w zakresie:                                                     - min. 75 – 900 mmHg                             </w:t>
            </w:r>
          </w:p>
          <w:p w:rsidR="0066593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 - min. 12 poziomów                                   </w:t>
            </w:r>
          </w:p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- rozdzielczość min. 75 mmHg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Klawiatura numeryczna do wprowadzania wartości parametrów infuzji. Klawiatura wyświetlana na ekranie dotykowym.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Bolus manualny konfigurowalny w menu pompy przed infuzją oraz automatyczny programowalny podczas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665937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Rejestr zdarzeń z min. 3000 pozycjami z datą i godziną zdarzenia z zapisem każdej czynności wykonywanej na pompie.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Mechanizm blokujący swobodny przepływ płynu zainstalowany w pompie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mocowania do rury pionowej i szyny poziomej przy pomocy elementu nie zintegrowanego z pompą. Możliwość demontażu w celu oszczędności miejsca i zmniejszenia wagi urządzenia.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Automatyczna funkcja </w:t>
            </w:r>
            <w:proofErr w:type="spellStart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antybolus</w:t>
            </w:r>
            <w:proofErr w:type="spellEnd"/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 lub redukcji ciśnienia okluzji – zabezpieczenie przed podaniem niekontrolowanego bolusa po alarmie okluzji, ograniczenie bolusa &lt; 0,2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Zmiana szybkości infuzji, objętości do podania i czasu bez konieczności przerywania wlewu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wyzerowania objętości podanej pacjentowi bez konieczności przerywania wlewu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Bolus podawany na żądanie w dowolnym momencie infuzji z wybraną szybkością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Prędkość infuzji w zakresie od 0,01 – 99.99 ml/h programowana co 0,01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Prędkość infuzji w zakresie od 100 – 999.99 ml/h programowana co 0,1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Zakres prędkości podaży 0,01-2000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Zakres prędkości podaży bolusa 0,1-2000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Funkcja programowania objętości do podawania min. 0,01-9999 ml programowana co 0,01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Tryb mikro z możliwością ustawienia parametrów: min. 100 – 1200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Funkcja KVO z możliwością wyłączenia funkcji przez użytkownika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Lista leków: min. 40 leków.</w:t>
            </w:r>
          </w:p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Możliwość rozszerzenia o bibliotekę z własnymi wzorcami bezpośrednio w pompie min. 1500 leków z zakresem dawek, zakresem stężeń, stosowanym stężeniem, stosowaną dawką, maksymalnym bolusem.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665937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66593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Parametry infuzji dla leków: </w:t>
            </w:r>
          </w:p>
          <w:p w:rsidR="0066593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 xml:space="preserve">Pełna nazwa leku, skrócona nazwa, maksymalny bolus                      Jednostki stężenia: minimalnego, stosowanego i maksymalnego                       </w:t>
            </w:r>
          </w:p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Jednostki dawki: minimalnej, maksymalnej i stosowanej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Wyświetlacz umożliwiający wyświetlenie min. następujących informacji jednocześnie: nazwa podawanego leku, objętość do podania (VTBI), prędkość infuzji, ciśnienie w aparacie w formie graficznej z wyszczególnieniem wybranego poziomu okluzji, stan naładowania akumulatora w formie procentowej lub pozostałego czasu pracy, nazwa oraz objętość używanego aparatu, informacja czy wyświetlacz jest zablokowany czy odblokowany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A93B12">
        <w:trPr>
          <w:trHeight w:val="29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Wskaźnik pracy pompy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Akustyczno – optyczny system alarmów i ostrzeżeń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Hierarchia alarmów w zależności od ważności. Co najmniej trzy stopnie ważności alarmów o odmiennej sygnalizacji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końca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przypominający o zatrzymanej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okluzji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wstępny zbliżającego się rozładowania akumulatora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rozładowanego akumulatora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braku lub źle założonego aparatu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wstępny przed końcem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braku zasilania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A93B12" w:rsidP="00CE5525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Alarm przypominający o przerwanym procesie programowania infuzji z  możliwością programowania czasu przypomnienia min.  2, 5, 10, 15, 20, 30 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Czujnik wykrywania powietrza w drenie, jeden między pacjentem a pompą, drugi między pompą a pojemnikiem z płynem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C31177" w:rsidRDefault="00A93B12" w:rsidP="00A93B1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220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 xml:space="preserve">POZYCJA 2   - </w:t>
            </w:r>
            <w:r w:rsidRPr="004176D9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00"/>
              </w:rPr>
              <w:t>POMPA INFUZYJNA STRZYKAWKOWA</w:t>
            </w:r>
          </w:p>
        </w:tc>
      </w:tr>
      <w:tr w:rsidR="00A93B12" w:rsidTr="00CE5525">
        <w:trPr>
          <w:trHeight w:val="22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</w:tcPr>
          <w:p w:rsidR="00A93B12" w:rsidRPr="004176D9" w:rsidRDefault="00A93B12" w:rsidP="00A93B1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38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</w:tcPr>
          <w:p w:rsidR="00A93B12" w:rsidRPr="004176D9" w:rsidRDefault="00A93B12" w:rsidP="00A93B1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40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3E25C7" w:rsidRDefault="00A93B12" w:rsidP="00A93B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3E25C7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A93B12" w:rsidTr="00CE5525">
        <w:trPr>
          <w:trHeight w:val="28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3E25C7" w:rsidRDefault="00A93B12" w:rsidP="00A93B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Rok produkcji  min.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3E25C7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5C7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B12" w:rsidTr="00CE5525">
        <w:trPr>
          <w:trHeight w:val="280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93B12" w:rsidRPr="004176D9" w:rsidRDefault="00A93B12" w:rsidP="00A93B1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A. CHARAKTERYSTYKA TECHNICZNA</w:t>
            </w:r>
          </w:p>
        </w:tc>
      </w:tr>
      <w:tr w:rsidR="004176D9" w:rsidTr="00CE5525">
        <w:trPr>
          <w:trHeight w:val="428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4176D9">
              <w:rPr>
                <w:rFonts w:cstheme="minorHAnsi"/>
              </w:rPr>
              <w:t xml:space="preserve">Pompa infuzyjna </w:t>
            </w:r>
            <w:proofErr w:type="spellStart"/>
            <w:r w:rsidRPr="004176D9">
              <w:rPr>
                <w:rFonts w:cstheme="minorHAnsi"/>
              </w:rPr>
              <w:t>strzykawkowa</w:t>
            </w:r>
            <w:proofErr w:type="spellEnd"/>
            <w:r w:rsidRPr="004176D9">
              <w:rPr>
                <w:rFonts w:cstheme="minorHAnsi"/>
              </w:rPr>
              <w:t xml:space="preserve"> zarejestrowana jako wyrób medyczny oznaczony znakiem CE zgodny z normami krajowymi i europejskimi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8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Pompa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strzykawkowa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do podawania dożylnego sterowana elektronicznie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Ochrona przed porażeniem, klasa I, typ CF, odporność na defibrylację.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1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Strzykawka mocowana od frontu. Mocowanie w pełni manualne. Możliwość zamontowania i przygotowania strzykawki przy wyłączonym urządzeniu.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1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ustawiania parametrów infuzji na kolorowym min. 4” ekranie dotykowym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7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Zasilanie: AC 100 - 240V; 50/60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oraz DC 12V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7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Samodzielna praca bez zasilania sieciowego min. 12 h przy przepływie 5ml/h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6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Czas ładowania akumulatorów do 100%:  max. 5 godzin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0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Ochrona przed zalaniem:  min. IP 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6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Funkcja Stand-by z możliwością programowania przez użytkownika w zakresie od 1 min do 25 godzin +/- 1min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Waga max. 2 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1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ręcznego i automatycznego zablokowania ekranu infuzji w celu wyeliminowania niekontrolowanych zmian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wyboru czasu automatycznej blokady ekranu min. 1, 2, 5, 10, 30 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Uchwyt do przenoszenia pompy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Wskaźnik pozostałego czasu pracy na zasilaniu akumulatorowym w postaci procentowej lub pozostałego </w:t>
            </w:r>
            <w:r w:rsidRPr="004176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czasu do rozładowania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resetowania ustawień użytkownika przed kolejną infuzją. Nie akceptuje się resetowania urządzenia do ustawień fabrycznych.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automatycznej kalibracji dowolnej strzykawki bez użycia dodatkowych elementów z możliwością zapisania jej nazwy i parametrów bezpośrednio w  pompie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Funkcja wyboru rodzaju strzykawki uruchamiana poprzez włożenie strzykawki do komory pompy – użytkownik może wskazać na której będzie pracował. Jeżeli zaprogramowany jest tylko jeden model, funkcja automatycznie jest wyłączona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8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Napisy na wyświetlaczu w języku polskim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3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rozbudowy o system centralnego monitoringu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9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Pompa skalibrowana do pracy ze strzykawkami o objętości 2/3, 5, 10, 20, 50/60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Co najmniej 6 trybów infuzji:                 </w:t>
            </w:r>
          </w:p>
          <w:p w:rsid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1. Tryb podstawowy: ml/h                     </w:t>
            </w:r>
          </w:p>
          <w:p w:rsid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2. Tryb programowania leku na podstawie masy ciała pacjenta                  </w:t>
            </w:r>
          </w:p>
          <w:p w:rsid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3. Tryb dawki indukcyjnej ( wysycającej )                                         4. Tryb sekwencyjny z max. 5 etapami </w:t>
            </w:r>
          </w:p>
          <w:p w:rsid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5. Tryb podnoszenia i opuszczania      </w:t>
            </w:r>
          </w:p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6. Tryb TIVA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9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Dokładność podaży:</w:t>
            </w:r>
            <w:r w:rsidR="003E25C7">
              <w:rPr>
                <w:rFonts w:asciiTheme="minorHAnsi" w:hAnsiTheme="minorHAnsi" w:cstheme="minorHAnsi"/>
                <w:sz w:val="22"/>
                <w:szCs w:val="22"/>
              </w:rPr>
              <w:t xml:space="preserve"> max.</w:t>
            </w: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+/- </w:t>
            </w:r>
            <w:r w:rsidR="003E25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3E25C7" w:rsidP="004176D9">
            <w:pPr>
              <w:jc w:val="center"/>
              <w:rPr>
                <w:rFonts w:cstheme="minorHAnsi"/>
              </w:rPr>
            </w:pPr>
            <w:r w:rsidRPr="00C31177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26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Możliwość zaprogramowania podaży w co najmniej jednostkach stężenia:    -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/ml,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/ml, mg/ml, g/ml, U/ml,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/ml, IU/ml, IE/ml,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mmol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/ml, mol/ml, kcal/ml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32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D200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Możliwość zaprogramowania podaży w co najmniej jednostkach tempa dozowania:                                                 -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, mg, g, U, KU, IU, IE,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mmol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, mol, kcal na min, h, 24h                            </w:t>
            </w:r>
          </w:p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/kg/,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/kg/, mg/kg/, g/kg/, U/kg/, KU/kg/, IU/kg/, IE/kg/,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mmo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/kg/, mol/kg/,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kca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/kg/  na min, h, 24h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D200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Regulowane progi ciśnienia w zakresie:                                                         - min. 75 – 900 mmHg                               </w:t>
            </w:r>
          </w:p>
          <w:p w:rsidR="00AD200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- min. 12 poziomów                                     </w:t>
            </w:r>
          </w:p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- rozdzielczość min. 75 mmHg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Klawiatura numeryczna do wprowadzania wartości parametrów infuzji. Klawiatura wyświetlana na ekranie dotykowym.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:rsidR="004176D9" w:rsidRPr="004176D9" w:rsidRDefault="004176D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Bolus manualny konfigurowalny w menu pompy przed infuzją oraz automatyczny programowalny podczas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Rejestr zdarzeń z min. 5000 pozycjami z datą i godziną zdarzenia z zapisem każdej czynności wykonywanej na pompie.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Mechanizm blokujący tłok strzykawki zapobiegający samoczynnemu opróżnianiu się strzykawki podczas wymiany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mocowania do rury pionowej i szyny poziomej przy pomocy elementu nie zintegrowanego z pompą. Możliwość demontażu w celu oszczędności miejsca i zmniejszenia wagi urządzenia.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Automatyczna funkcja </w:t>
            </w:r>
            <w:proofErr w:type="spellStart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antybolus</w:t>
            </w:r>
            <w:proofErr w:type="spellEnd"/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lub redukcji ciśnienia okluzji – zabezpieczenie przed podaniem niekontrolowanego bolusa po alarmie okluzji, ograniczenie bolusa &lt; 0,2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Zmiana szybkości infuzji, objętości do podania i czasu bez konieczności przerywania wlewu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wyzerowania objętości podanej pacjentowi bez konieczności przerywania wlewu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Bolus podawany na żądanie w dowolnym momencie infuzji z wybraną szybkością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Prędkość infuzji w zakresie od 0,01 – 99.99 ml/h programowana co 0,01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Prędkość infuzji w zakresie od 100 – 999.99 ml/h programowana co 0,1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Zakres prędkości podaży bolusa 0,1-2000 ml/h dla strzykawki 50ml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Funkcja programowania objętości do podawania min. 0,01-9999 ml programowana co 0,01 ml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Tryb mikro z możliwością ustawienia parametrów: min. 100 – 2000 ml/h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Funkcja KVO z możliwością wyłączenia funkcji przez użytkownika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Lista leków: min. 40 leków.</w:t>
            </w:r>
          </w:p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Możliwość rozszerzenia o bibliotekę z własnymi wzorcami bezpośrednio w pompie min. 1500 leków z zakresem dawek, zakresem stężeń, stosowanym stężeniem, stosowaną dawką, maksymalnym bolusem.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D200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Parametry infuzji dla leków:                  </w:t>
            </w:r>
          </w:p>
          <w:p w:rsidR="00AD200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- Pełna nazwa leku, skrócona nazwa, maksymalny bolus                                          - Jednostki stężenia: minimalnego, stosowanego i </w:t>
            </w:r>
            <w:r w:rsidRPr="004176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maksymalnego                    </w:t>
            </w:r>
          </w:p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 xml:space="preserve"> - Jednostki dawki: minimalnej, maksymalnej i stosowanej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Wyświetlacz umożliwiający wyświetlenie min. następujących informacji jednocześnie: nazwa podawanego leku, objętość do podania (VTBI), prędkość infuzji, ciśnienie w strzykawce w formie graficznej z wyszczególnieniem wybranego poziomu okluzji, stan naładowania akumulatora w formie procentowej lub pozostałego czasu pracy, nazwa oraz objętość używanej strzykawki, informacja czy wyświetlacz jest zablokowany czy odblokowany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Wskaźnik pracy pompy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Akustyczno – optyczny system alarmów i ostrzeżeń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wstępny przed opróżnieniem strzykawki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pustej strzykawki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przypominający o zatrzymanej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okluzji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wstępny zbliżającego się rozładowania akumulatora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rozładowanego akumulatora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braku lub źle założonej strzykawki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wstępny przed końcem infuzji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wstępny przed opróżnieniem strzykawki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braku zasilania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Alarm przypominający o przerwanym procesie programowania infuzji z  możliwością programowania czasu przypomnienia min.  2, 5, 10, 15, 20, 30 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jc w:val="center"/>
              <w:rPr>
                <w:rFonts w:cstheme="minorHAnsi"/>
              </w:rPr>
            </w:pPr>
            <w:r w:rsidRPr="004176D9">
              <w:rPr>
                <w:rFonts w:cstheme="minorHAnsi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76D9" w:rsidTr="00CE5525">
        <w:trPr>
          <w:trHeight w:val="1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AD2009" w:rsidP="004176D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4176D9">
              <w:rPr>
                <w:rFonts w:asciiTheme="minorHAnsi" w:hAnsiTheme="minorHAnsi" w:cstheme="minorHAnsi"/>
                <w:sz w:val="22"/>
                <w:szCs w:val="22"/>
              </w:rPr>
              <w:t>Czujnik prawidłowego założenia strzykawki w popychaczu tłoka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4176D9" w:rsidRPr="004176D9" w:rsidRDefault="004176D9" w:rsidP="004176D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E5525" w:rsidRDefault="00CE5525" w:rsidP="00CE5525">
      <w:pPr>
        <w:pStyle w:val="Standard"/>
        <w:widowControl w:val="0"/>
        <w:jc w:val="both"/>
        <w:rPr>
          <w:rFonts w:eastAsia="Trebuchet MS"/>
          <w:b/>
          <w:i/>
          <w:lang w:val="en-US"/>
        </w:rPr>
      </w:pPr>
    </w:p>
    <w:p w:rsidR="00AD2009" w:rsidRDefault="00AD2009" w:rsidP="00CE5525">
      <w:pPr>
        <w:pStyle w:val="Standard"/>
        <w:widowControl w:val="0"/>
        <w:jc w:val="both"/>
        <w:rPr>
          <w:rFonts w:eastAsia="Trebuchet MS"/>
          <w:b/>
          <w:i/>
          <w:lang w:val="en-US"/>
        </w:rPr>
      </w:pPr>
    </w:p>
    <w:p w:rsidR="00AD2009" w:rsidRDefault="00AD2009" w:rsidP="00CE5525">
      <w:pPr>
        <w:pStyle w:val="Standard"/>
        <w:widowControl w:val="0"/>
        <w:jc w:val="both"/>
        <w:rPr>
          <w:rFonts w:eastAsia="Trebuchet MS"/>
          <w:b/>
          <w:i/>
          <w:lang w:val="en-US"/>
        </w:rPr>
      </w:pPr>
    </w:p>
    <w:p w:rsidR="00AD2009" w:rsidRPr="00AD2009" w:rsidRDefault="00AD2009" w:rsidP="00CE5525">
      <w:pPr>
        <w:pStyle w:val="Standard"/>
        <w:widowControl w:val="0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p w:rsidR="00AD2009" w:rsidRPr="00AD2009" w:rsidRDefault="00AD2009" w:rsidP="00CE5525">
      <w:pPr>
        <w:pStyle w:val="Standard"/>
        <w:widowControl w:val="0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p w:rsidR="00AD2009" w:rsidRPr="00AD2009" w:rsidRDefault="00AD2009" w:rsidP="00CE5525">
      <w:pPr>
        <w:pStyle w:val="Standard"/>
        <w:widowControl w:val="0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tbl>
      <w:tblPr>
        <w:tblW w:w="10626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238"/>
        <w:gridCol w:w="1559"/>
        <w:gridCol w:w="3402"/>
      </w:tblGrid>
      <w:tr w:rsidR="00CE5525" w:rsidRPr="00AD2009" w:rsidTr="00CE5525">
        <w:trPr>
          <w:trHeight w:val="311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B. WARUNKI GWARANCJI I SERWISU DLA POZYCJI 1-2</w:t>
            </w:r>
          </w:p>
        </w:tc>
      </w:tr>
      <w:tr w:rsidR="00CE5525" w:rsidRPr="00AD2009" w:rsidTr="00CE5525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 xml:space="preserve">Okres gwarancji min.24 miesiące  / </w:t>
            </w:r>
            <w:r w:rsidRPr="00AD2009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kryterium oceny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24 miesiące –</w:t>
            </w:r>
          </w:p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0 pkt.</w:t>
            </w:r>
          </w:p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36 miesięcy i więcej –</w:t>
            </w:r>
          </w:p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20 pkt.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Czas reakcji serwisu na zgłoszenie z podjęciem naprawy (nie dłuższy niż 48 godzin) w dni robocze (od pn-</w:t>
            </w:r>
            <w:proofErr w:type="spellStart"/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AD2009">
              <w:rPr>
                <w:rFonts w:asciiTheme="minorHAnsi" w:hAnsiTheme="minorHAnsi" w:cstheme="minorHAnsi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Przedmiot zamówienia  w tej samej klasie i o tych samych lub wyższych parametrach na czas naprawy gwarancyjnej w przypadku nie dokonania naprawy w terminie 3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 od daty zainstalowania  nazwa serwisu, adres, nr telefonu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3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C. POZOSTAŁE WYMAGANIA DLA POZYCJI 1 - 2</w:t>
            </w: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Szkolenie personelu medycznego z obsługi i konserwacji bieżącej przedmiotu zamówienia.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Dokumenty, świadectwa dopuszczające aparat do stosowania na terenie Polski np. Certyfikat CE lub deklaracja zgodności  – dostarczyć wraz z dostawą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E5525" w:rsidRPr="00AD2009" w:rsidRDefault="00CE5525" w:rsidP="00CE5525">
      <w:pPr>
        <w:pStyle w:val="Standard"/>
        <w:widowControl w:val="0"/>
        <w:ind w:left="4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bookmarkEnd w:id="6"/>
    <w:p w:rsidR="00CE5525" w:rsidRPr="00AD2009" w:rsidRDefault="00CE5525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E5525" w:rsidRDefault="00CE5525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Pr="00AD2009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Pr="003F4FDC" w:rsidRDefault="00EF79EC" w:rsidP="00EF79E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79EC" w:rsidRPr="003F4FDC" w:rsidRDefault="00EF79EC" w:rsidP="00EF79E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9A2BF4" w:rsidRPr="00AD2009" w:rsidRDefault="009A2BF4" w:rsidP="000135A8">
      <w:pPr>
        <w:spacing w:before="100" w:beforeAutospacing="1" w:after="0"/>
        <w:rPr>
          <w:rFonts w:eastAsia="Times New Roman" w:cstheme="minorHAnsi"/>
          <w:color w:val="FF0000"/>
          <w:lang w:eastAsia="pl-PL"/>
        </w:rPr>
      </w:pPr>
    </w:p>
    <w:sectPr w:rsidR="009A2BF4" w:rsidRPr="00AD2009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D9" w:rsidRDefault="00C966D9" w:rsidP="00EF052D">
      <w:pPr>
        <w:spacing w:after="0" w:line="240" w:lineRule="auto"/>
      </w:pPr>
      <w:r>
        <w:separator/>
      </w:r>
    </w:p>
  </w:endnote>
  <w:endnote w:type="continuationSeparator" w:id="0">
    <w:p w:rsidR="00C966D9" w:rsidRDefault="00C966D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D9" w:rsidRDefault="00C966D9" w:rsidP="00EF052D">
      <w:pPr>
        <w:spacing w:after="0" w:line="240" w:lineRule="auto"/>
      </w:pPr>
      <w:r>
        <w:separator/>
      </w:r>
    </w:p>
  </w:footnote>
  <w:footnote w:type="continuationSeparator" w:id="0">
    <w:p w:rsidR="00C966D9" w:rsidRDefault="00C966D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WSZ.DAT.SZP.261.2.1</w:t>
    </w:r>
    <w:r>
      <w:rPr>
        <w:b/>
        <w:sz w:val="24"/>
        <w:szCs w:val="24"/>
      </w:rPr>
      <w:t>4</w:t>
    </w:r>
    <w:r w:rsidRPr="00B95B54">
      <w:rPr>
        <w:b/>
        <w:sz w:val="24"/>
        <w:szCs w:val="24"/>
      </w:rPr>
      <w:t>0/2022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B5AB1"/>
    <w:rsid w:val="003E25C7"/>
    <w:rsid w:val="003F4FDC"/>
    <w:rsid w:val="003F5E27"/>
    <w:rsid w:val="004176D9"/>
    <w:rsid w:val="0043565D"/>
    <w:rsid w:val="00473F0F"/>
    <w:rsid w:val="004B4F38"/>
    <w:rsid w:val="004B5B3F"/>
    <w:rsid w:val="004C04CF"/>
    <w:rsid w:val="004D6420"/>
    <w:rsid w:val="00544ACE"/>
    <w:rsid w:val="005F7A5D"/>
    <w:rsid w:val="00665937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4995"/>
    <w:rsid w:val="008F47CB"/>
    <w:rsid w:val="00900470"/>
    <w:rsid w:val="009509F1"/>
    <w:rsid w:val="00951015"/>
    <w:rsid w:val="0096475E"/>
    <w:rsid w:val="009A1B54"/>
    <w:rsid w:val="009A2BF4"/>
    <w:rsid w:val="009A4266"/>
    <w:rsid w:val="009F32B3"/>
    <w:rsid w:val="00A11F83"/>
    <w:rsid w:val="00A33F40"/>
    <w:rsid w:val="00A46F91"/>
    <w:rsid w:val="00A82BAB"/>
    <w:rsid w:val="00A93B12"/>
    <w:rsid w:val="00AD200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1177"/>
    <w:rsid w:val="00C33F80"/>
    <w:rsid w:val="00C44B8F"/>
    <w:rsid w:val="00C46C3E"/>
    <w:rsid w:val="00C966D9"/>
    <w:rsid w:val="00CC1877"/>
    <w:rsid w:val="00CE31F8"/>
    <w:rsid w:val="00CE5525"/>
    <w:rsid w:val="00CE718B"/>
    <w:rsid w:val="00CF0677"/>
    <w:rsid w:val="00D97784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C2328"/>
    <w:rsid w:val="00EE5060"/>
    <w:rsid w:val="00EF052D"/>
    <w:rsid w:val="00EF2C29"/>
    <w:rsid w:val="00EF2CBC"/>
    <w:rsid w:val="00EF79EC"/>
    <w:rsid w:val="00F05086"/>
    <w:rsid w:val="00F40E4D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E4C3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81E9-82E7-4D5D-9A0B-E53C7D88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34</cp:revision>
  <cp:lastPrinted>2022-10-10T08:28:00Z</cp:lastPrinted>
  <dcterms:created xsi:type="dcterms:W3CDTF">2018-09-20T09:58:00Z</dcterms:created>
  <dcterms:modified xsi:type="dcterms:W3CDTF">2022-10-10T08:28:00Z</dcterms:modified>
</cp:coreProperties>
</file>